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/>
        <w:jc w:val="center"/>
        <w:rPr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落实</w:t>
      </w:r>
      <w:r>
        <w:rPr>
          <w:rFonts w:hint="eastAsia" w:ascii="黑体" w:hAnsi="黑体"/>
          <w:szCs w:val="32"/>
        </w:rPr>
        <w:t>“</w:t>
      </w:r>
      <w:r>
        <w:rPr>
          <w:rFonts w:hint="eastAsia"/>
          <w:b w:val="0"/>
          <w:bCs/>
          <w:sz w:val="30"/>
          <w:szCs w:val="30"/>
        </w:rPr>
        <w:t>强基工程</w:t>
      </w:r>
      <w:r>
        <w:rPr>
          <w:rFonts w:ascii="黑体" w:hAnsi="黑体"/>
          <w:szCs w:val="32"/>
        </w:rPr>
        <w:t>”</w:t>
      </w:r>
      <w:r>
        <w:rPr>
          <w:rFonts w:hint="eastAsia"/>
          <w:b w:val="0"/>
          <w:bCs/>
          <w:sz w:val="30"/>
          <w:szCs w:val="30"/>
        </w:rPr>
        <w:t xml:space="preserve">  全面提升税费征管能力培训班</w:t>
      </w:r>
    </w:p>
    <w:p>
      <w:pPr>
        <w:pStyle w:val="2"/>
        <w:spacing w:before="0"/>
        <w:jc w:val="center"/>
        <w:rPr>
          <w:b w:val="0"/>
          <w:bCs/>
          <w:sz w:val="30"/>
          <w:szCs w:val="30"/>
        </w:rPr>
      </w:pPr>
      <w:r>
        <w:rPr>
          <w:rFonts w:hint="eastAsia"/>
          <w:b w:val="0"/>
          <w:bCs/>
          <w:sz w:val="30"/>
          <w:szCs w:val="30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围绕数字化转型条件下的税费征管“强基工程”，对近五年来新进公务员开展结构化的调研分析，找准政治能力和业务能力的短板弱项。本项目聚焦于加强税费征管，提升基层税务干部业务素质能力，解决税费征管实践难题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入职5年以内的青年税务干部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本项目以提升基层税务干部业务素质能力为目标，聚焦于税费业务领域的基本政策及征管操作，强化青年干部专业能力，为中国式现代化的税务实践提供人才保障。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0天，其中课堂教学8天，报到、返程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天。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3"/>
        <w:tblW w:w="860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021"/>
        <w:gridCol w:w="1249"/>
        <w:gridCol w:w="1543"/>
        <w:gridCol w:w="1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块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培训内容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课时（天）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241" w:firstLineChars="100"/>
              <w:jc w:val="left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拟聘师资</w:t>
            </w:r>
          </w:p>
        </w:tc>
        <w:tc>
          <w:tcPr>
            <w:tcW w:w="1360" w:type="dxa"/>
            <w:tcBorders>
              <w:tl2br w:val="nil"/>
              <w:tr2bl w:val="nil"/>
            </w:tcBorders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党的理论</w:t>
            </w: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与党性教育</w:t>
            </w:r>
          </w:p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(1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天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党的理论与党性教育相关课程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主题党日活动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（7天）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二十届三中全会财税体制改革中税制改革解读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增值税重难点政策及征收管理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消费税重难点政策及征收管理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企业所得税重难点政策及征收管理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个人所得税重难点政策及征收管理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6.财产行为税重难点政策及征收管理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社保与非税收入重难点政策及征收管理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《税收征管操作规范》重点事项解读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《纳税人办税指南》重点事项解读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税务稽查操作与案例分析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11.从税收视角看会计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12.研讨交流：基层税费征管中难点问题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  <w:r>
              <w:rPr>
                <w:rFonts w:ascii="仿宋" w:hAnsi="仿宋" w:eastAsia="仿宋" w:cs="仿宋"/>
                <w:sz w:val="24"/>
              </w:rPr>
              <w:t>.自主学习</w:t>
            </w:r>
            <w:r>
              <w:rPr>
                <w:rFonts w:hint="eastAsia" w:ascii="仿宋" w:hAnsi="仿宋" w:eastAsia="仿宋" w:cs="仿宋"/>
                <w:sz w:val="24"/>
              </w:rPr>
              <w:t>：充分发挥税收在国家治理中的功能作用（学习兴税——标课）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晚课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</w:t>
            </w:r>
            <w:r>
              <w:rPr>
                <w:rFonts w:ascii="仿宋" w:hAnsi="仿宋" w:eastAsia="仿宋" w:cs="仿宋"/>
                <w:b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02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报到返程</w:t>
            </w:r>
          </w:p>
        </w:tc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5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44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合计</w:t>
            </w:r>
          </w:p>
        </w:tc>
        <w:tc>
          <w:tcPr>
            <w:tcW w:w="41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0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overflowPunct w:val="0"/>
      <w:autoSpaceDE w:val="0"/>
      <w:autoSpaceDN w:val="0"/>
      <w:adjustRightInd w:val="0"/>
      <w:spacing w:before="260" w:after="260" w:line="413" w:lineRule="auto"/>
      <w:textAlignment w:val="baseline"/>
      <w:outlineLvl w:val="1"/>
    </w:pPr>
    <w:rPr>
      <w:rFonts w:ascii="Arial" w:hAnsi="Arial" w:eastAsia="黑体" w:cs="Times New Roman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2025-01-06T07:26:57Z</dcterms:created>
  <dc:creator>Administrator</dc:creator>
  <cp:lastModifiedBy>Administrator</cp:lastModifiedBy>
  <dcterms:modified xsi:type="dcterms:W3CDTF">2025-01-06T07:27:09Z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